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r>
        <w:rPr>
          <w:rFonts w:hint="eastAsia" w:ascii="黑体" w:eastAsia="黑体"/>
          <w:kern w:val="0"/>
          <w:sz w:val="32"/>
          <w:szCs w:val="32"/>
        </w:rPr>
        <w:t>附件</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hanging="2" w:firstLineChars="0"/>
        <w:jc w:val="center"/>
        <w:textAlignment w:val="auto"/>
        <w:outlineLvl w:val="9"/>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lang w:eastAsia="zh-CN"/>
        </w:rPr>
        <w:t>区</w:t>
      </w:r>
      <w:r>
        <w:rPr>
          <w:rFonts w:hint="eastAsia" w:ascii="方正小标宋简体" w:hAnsi="黑体" w:eastAsia="方正小标宋简体" w:cs="黑体"/>
          <w:sz w:val="36"/>
          <w:szCs w:val="36"/>
        </w:rPr>
        <w:t>级政府部门</w:t>
      </w:r>
      <w:r>
        <w:rPr>
          <w:rFonts w:hint="eastAsia" w:ascii="方正小标宋简体" w:hAnsi="黑体" w:eastAsia="方正小标宋简体" w:cs="黑体"/>
          <w:sz w:val="36"/>
          <w:szCs w:val="36"/>
          <w:lang w:val="en-US" w:eastAsia="zh-CN"/>
        </w:rPr>
        <w:t>2016年</w:t>
      </w:r>
      <w:r>
        <w:rPr>
          <w:rFonts w:hint="eastAsia" w:ascii="方正小标宋简体" w:hAnsi="黑体" w:eastAsia="方正小标宋简体" w:cs="黑体"/>
          <w:sz w:val="36"/>
          <w:szCs w:val="36"/>
        </w:rPr>
        <w:t>第</w:t>
      </w:r>
      <w:r>
        <w:rPr>
          <w:rFonts w:hint="eastAsia" w:ascii="方正小标宋简体" w:hAnsi="黑体" w:eastAsia="方正小标宋简体" w:cs="黑体"/>
          <w:sz w:val="36"/>
          <w:szCs w:val="36"/>
          <w:lang w:eastAsia="zh-CN"/>
        </w:rPr>
        <w:t>二</w:t>
      </w:r>
      <w:r>
        <w:rPr>
          <w:rFonts w:hint="eastAsia" w:ascii="方正小标宋简体" w:hAnsi="黑体" w:eastAsia="方正小标宋简体" w:cs="黑体"/>
          <w:sz w:val="36"/>
          <w:szCs w:val="36"/>
        </w:rPr>
        <w:t>批取消调整和</w:t>
      </w:r>
      <w:r>
        <w:rPr>
          <w:rFonts w:hint="eastAsia" w:ascii="方正小标宋简体" w:hAnsi="黑体" w:eastAsia="方正小标宋简体" w:cs="黑体"/>
          <w:sz w:val="36"/>
          <w:szCs w:val="36"/>
          <w:lang w:eastAsia="zh-CN"/>
        </w:rPr>
        <w:t>承接</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hanging="2" w:firstLineChars="0"/>
        <w:jc w:val="center"/>
        <w:textAlignment w:val="auto"/>
        <w:outlineLvl w:val="9"/>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行政审批项目等事项目录（</w:t>
      </w:r>
      <w:r>
        <w:rPr>
          <w:rFonts w:hint="eastAsia" w:ascii="方正小标宋简体" w:hAnsi="黑体" w:eastAsia="方正小标宋简体" w:cs="黑体"/>
          <w:sz w:val="36"/>
          <w:szCs w:val="36"/>
          <w:lang w:val="en-US" w:eastAsia="zh-CN"/>
        </w:rPr>
        <w:t>19</w:t>
      </w:r>
      <w:r>
        <w:rPr>
          <w:rFonts w:hint="eastAsia" w:ascii="方正小标宋简体" w:hAnsi="黑体" w:eastAsia="方正小标宋简体" w:cs="黑体"/>
          <w:sz w:val="36"/>
          <w:szCs w:val="36"/>
        </w:rPr>
        <w:t>项）</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leftChars="0" w:right="0" w:rightChars="0" w:hanging="2" w:firstLineChars="0"/>
        <w:jc w:val="center"/>
        <w:textAlignment w:val="auto"/>
        <w:outlineLvl w:val="9"/>
        <w:rPr>
          <w:rFonts w:ascii="方正小标宋简体" w:eastAsia="方正小标宋简体"/>
          <w:kern w:val="0"/>
          <w:sz w:val="28"/>
          <w:szCs w:val="28"/>
        </w:rPr>
      </w:pPr>
      <w:r>
        <w:rPr>
          <w:rFonts w:hint="eastAsia" w:ascii="方正小标宋简体" w:eastAsia="方正小标宋简体"/>
          <w:kern w:val="0"/>
          <w:sz w:val="28"/>
          <w:szCs w:val="28"/>
        </w:rPr>
        <w:t>（</w:t>
      </w:r>
      <w:r>
        <w:rPr>
          <w:rFonts w:hint="eastAsia" w:ascii="方正小标宋简体" w:eastAsia="方正小标宋简体"/>
          <w:kern w:val="0"/>
          <w:sz w:val="28"/>
          <w:szCs w:val="28"/>
          <w:lang w:eastAsia="zh-CN"/>
        </w:rPr>
        <w:t>一</w:t>
      </w:r>
      <w:r>
        <w:rPr>
          <w:rFonts w:hint="eastAsia" w:ascii="方正小标宋简体" w:eastAsia="方正小标宋简体"/>
          <w:kern w:val="0"/>
          <w:sz w:val="28"/>
          <w:szCs w:val="28"/>
        </w:rPr>
        <w:t>）取消行政审批项目目录（</w:t>
      </w:r>
      <w:r>
        <w:rPr>
          <w:rFonts w:hint="eastAsia" w:ascii="方正小标宋简体" w:eastAsia="方正小标宋简体"/>
          <w:kern w:val="0"/>
          <w:sz w:val="28"/>
          <w:szCs w:val="28"/>
          <w:lang w:val="en-US" w:eastAsia="zh-CN"/>
        </w:rPr>
        <w:t>12</w:t>
      </w:r>
      <w:r>
        <w:rPr>
          <w:rFonts w:hint="eastAsia" w:ascii="方正小标宋简体" w:eastAsia="方正小标宋简体"/>
          <w:kern w:val="0"/>
          <w:sz w:val="28"/>
          <w:szCs w:val="28"/>
        </w:rPr>
        <w:t>项）</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453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序号</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项目名称</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开垦荒坡地防止水土流失措施审批</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kern w:val="0"/>
                <w:szCs w:val="21"/>
                <w:lang w:eastAsia="zh-CN"/>
              </w:rPr>
              <w:t>白银区水务局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占用城市道路作为集贸市场审批</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kern w:val="0"/>
                <w:szCs w:val="21"/>
                <w:lang w:eastAsia="zh-CN"/>
              </w:rPr>
              <w:t>白银区综合执法局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市区饲养家畜家禽审批</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安置残疾人员和国家鼓励安置的其他就业人员所支付工资的加计扣除的核准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印花税票代售许可</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创业投资企业享受创业投资所得税优惠核准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7</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企业购置用于环境保护、节能节水、安全生产的专用设备的投资额享受所得税优惠的备案核准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8</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非居民企业股权转让选择特殊性税务处理核准</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bookmarkStart w:id="0" w:name="_GoBack"/>
            <w:r>
              <w:rPr>
                <w:rFonts w:hint="eastAsia" w:ascii="宋体" w:hAnsi="宋体"/>
                <w:kern w:val="0"/>
                <w:szCs w:val="21"/>
                <w:lang w:val="en-US" w:eastAsia="zh-CN"/>
              </w:rPr>
              <w:t>9</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印制有本单位名称发票的审批</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地税局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10</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户外广告登记</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工商</w:t>
            </w:r>
            <w:r>
              <w:rPr>
                <w:rFonts w:hint="eastAsia" w:ascii="宋体" w:hAnsi="宋体"/>
                <w:kern w:val="0"/>
                <w:szCs w:val="21"/>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11</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固定形式印刷品广告登记</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w:t>
            </w:r>
            <w:r>
              <w:rPr>
                <w:rFonts w:hint="eastAsia" w:ascii="宋体" w:hAnsi="宋体"/>
                <w:kern w:val="0"/>
                <w:szCs w:val="21"/>
              </w:rPr>
              <w:t>工商</w:t>
            </w:r>
            <w:r>
              <w:rPr>
                <w:rFonts w:hint="eastAsia" w:ascii="宋体" w:hAnsi="宋体"/>
                <w:kern w:val="0"/>
                <w:szCs w:val="21"/>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12</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电影放映单位变更业务范围或者兼并、合并、分立审批</w:t>
            </w:r>
          </w:p>
        </w:tc>
        <w:tc>
          <w:tcPr>
            <w:tcW w:w="3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白银区文体局</w:t>
            </w:r>
          </w:p>
        </w:tc>
      </w:tr>
    </w:tbl>
    <w:p>
      <w:pPr>
        <w:keepNext w:val="0"/>
        <w:keepLines w:val="0"/>
        <w:pageBreakBefore w:val="0"/>
        <w:widowControl/>
        <w:kinsoku/>
        <w:wordWrap/>
        <w:overflowPunct/>
        <w:topLinePunct w:val="0"/>
        <w:autoSpaceDE/>
        <w:autoSpaceDN/>
        <w:bidi w:val="0"/>
        <w:adjustRightInd/>
        <w:snapToGrid/>
        <w:spacing w:before="313" w:beforeLines="100" w:after="157" w:afterLines="50" w:line="240" w:lineRule="auto"/>
        <w:ind w:left="315" w:leftChars="0" w:right="0" w:rightChars="0" w:firstLine="315" w:firstLineChars="0"/>
        <w:jc w:val="center"/>
        <w:textAlignment w:val="auto"/>
        <w:outlineLvl w:val="9"/>
        <w:rPr>
          <w:rFonts w:ascii="方正小标宋简体" w:eastAsia="方正小标宋简体"/>
          <w:kern w:val="0"/>
          <w:sz w:val="28"/>
          <w:szCs w:val="28"/>
        </w:rPr>
      </w:pPr>
      <w:r>
        <w:rPr>
          <w:rFonts w:hint="eastAsia" w:ascii="方正小标宋简体" w:eastAsia="方正小标宋简体"/>
          <w:kern w:val="0"/>
          <w:sz w:val="28"/>
          <w:szCs w:val="28"/>
        </w:rPr>
        <w:t>(</w:t>
      </w:r>
      <w:r>
        <w:rPr>
          <w:rFonts w:hint="eastAsia" w:ascii="方正小标宋简体" w:eastAsia="方正小标宋简体"/>
          <w:kern w:val="0"/>
          <w:sz w:val="28"/>
          <w:szCs w:val="28"/>
          <w:lang w:eastAsia="zh-CN"/>
        </w:rPr>
        <w:t>二</w:t>
      </w:r>
      <w:r>
        <w:rPr>
          <w:rFonts w:hint="eastAsia" w:ascii="方正小标宋简体" w:eastAsia="方正小标宋简体"/>
          <w:kern w:val="0"/>
          <w:sz w:val="28"/>
          <w:szCs w:val="28"/>
        </w:rPr>
        <w:t>)</w:t>
      </w:r>
      <w:r>
        <w:rPr>
          <w:rFonts w:hint="eastAsia" w:ascii="方正小标宋简体" w:eastAsia="方正小标宋简体"/>
          <w:kern w:val="0"/>
          <w:sz w:val="28"/>
          <w:szCs w:val="28"/>
          <w:lang w:eastAsia="zh-CN"/>
        </w:rPr>
        <w:t>承接省市下放</w:t>
      </w:r>
      <w:r>
        <w:rPr>
          <w:rFonts w:hint="eastAsia" w:ascii="方正小标宋简体" w:eastAsia="方正小标宋简体"/>
          <w:kern w:val="0"/>
          <w:sz w:val="28"/>
          <w:szCs w:val="28"/>
        </w:rPr>
        <w:t>行政审批事项目录（</w:t>
      </w:r>
      <w:r>
        <w:rPr>
          <w:rFonts w:hint="eastAsia" w:ascii="方正小标宋简体" w:eastAsia="方正小标宋简体"/>
          <w:kern w:val="0"/>
          <w:sz w:val="28"/>
          <w:szCs w:val="28"/>
          <w:lang w:val="en-US" w:eastAsia="zh-CN"/>
        </w:rPr>
        <w:t>3</w:t>
      </w:r>
      <w:r>
        <w:rPr>
          <w:rFonts w:hint="eastAsia" w:ascii="方正小标宋简体" w:eastAsia="方正小标宋简体"/>
          <w:kern w:val="0"/>
          <w:sz w:val="28"/>
          <w:szCs w:val="28"/>
        </w:rPr>
        <w:t>项）</w:t>
      </w:r>
    </w:p>
    <w:tbl>
      <w:tblPr>
        <w:tblStyle w:val="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71"/>
        <w:gridCol w:w="234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序号</w:t>
            </w:r>
          </w:p>
        </w:tc>
        <w:tc>
          <w:tcPr>
            <w:tcW w:w="31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项目名称</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原实施机关</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现实施机关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1</w:t>
            </w:r>
          </w:p>
        </w:tc>
        <w:tc>
          <w:tcPr>
            <w:tcW w:w="31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设立出版物零售企业或者其他单位从事出版物零售业务审核</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市级人民政府新闻出版广电行政主管部门</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lang w:eastAsia="zh-CN"/>
              </w:rPr>
              <w:t>白银区文体局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31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kern w:val="0"/>
                <w:szCs w:val="21"/>
              </w:rPr>
            </w:pPr>
            <w:r>
              <w:rPr>
                <w:rFonts w:hint="eastAsia" w:ascii="宋体" w:hAnsi="宋体"/>
                <w:kern w:val="0"/>
                <w:szCs w:val="21"/>
              </w:rPr>
              <w:t>非公募基金会的设立、变更和注销登记</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kern w:val="0"/>
                <w:szCs w:val="21"/>
              </w:rPr>
            </w:pPr>
            <w:r>
              <w:rPr>
                <w:rFonts w:hint="eastAsia" w:ascii="宋体" w:hAnsi="宋体"/>
                <w:kern w:val="0"/>
                <w:szCs w:val="21"/>
              </w:rPr>
              <w:t>市州以上人民政府民政部门</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Cs w:val="21"/>
                <w:lang w:eastAsia="zh-CN"/>
              </w:rPr>
            </w:pPr>
            <w:r>
              <w:rPr>
                <w:rFonts w:hint="eastAsia" w:ascii="宋体" w:hAnsi="宋体"/>
                <w:kern w:val="0"/>
                <w:szCs w:val="21"/>
                <w:lang w:eastAsia="zh-CN"/>
              </w:rPr>
              <w:t>白银区民政局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31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kern w:val="0"/>
                <w:szCs w:val="21"/>
              </w:rPr>
            </w:pPr>
            <w:r>
              <w:rPr>
                <w:rFonts w:hint="eastAsia" w:ascii="宋体" w:hAnsi="宋体"/>
                <w:kern w:val="0"/>
                <w:szCs w:val="21"/>
              </w:rPr>
              <w:t>异地商会成立、变更、注销登记</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kern w:val="0"/>
                <w:szCs w:val="21"/>
                <w:lang w:eastAsia="zh-CN"/>
              </w:rPr>
            </w:pPr>
            <w:r>
              <w:rPr>
                <w:rFonts w:hint="eastAsia" w:ascii="宋体" w:hAnsi="宋体"/>
                <w:kern w:val="0"/>
                <w:szCs w:val="21"/>
              </w:rPr>
              <w:t>市州以上人民政府民政部门</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Cs w:val="21"/>
                <w:lang w:eastAsia="zh-CN"/>
              </w:rPr>
            </w:pPr>
            <w:r>
              <w:rPr>
                <w:rFonts w:hint="eastAsia" w:ascii="宋体" w:hAnsi="宋体"/>
                <w:kern w:val="0"/>
                <w:szCs w:val="21"/>
                <w:lang w:eastAsia="zh-CN"/>
              </w:rPr>
              <w:t>白银区民政局</w:t>
            </w:r>
          </w:p>
        </w:tc>
      </w:tr>
    </w:tbl>
    <w:p>
      <w:pPr>
        <w:keepNext w:val="0"/>
        <w:keepLines w:val="0"/>
        <w:pageBreakBefore w:val="0"/>
        <w:widowControl/>
        <w:kinsoku/>
        <w:wordWrap/>
        <w:overflowPunct/>
        <w:topLinePunct w:val="0"/>
        <w:autoSpaceDE/>
        <w:autoSpaceDN/>
        <w:bidi w:val="0"/>
        <w:adjustRightInd/>
        <w:snapToGrid/>
        <w:spacing w:before="313" w:beforeLines="100" w:after="157" w:afterLines="50" w:line="240" w:lineRule="auto"/>
        <w:ind w:left="315" w:leftChars="0" w:right="0" w:rightChars="0" w:firstLine="315" w:firstLineChars="0"/>
        <w:jc w:val="center"/>
        <w:textAlignment w:val="auto"/>
        <w:outlineLvl w:val="9"/>
        <w:rPr>
          <w:rFonts w:ascii="方正小标宋简体" w:eastAsia="方正小标宋简体"/>
          <w:kern w:val="0"/>
          <w:sz w:val="28"/>
          <w:szCs w:val="28"/>
        </w:rPr>
      </w:pPr>
      <w:r>
        <w:rPr>
          <w:rFonts w:hint="eastAsia" w:ascii="方正小标宋简体" w:eastAsia="方正小标宋简体"/>
          <w:kern w:val="0"/>
          <w:sz w:val="28"/>
          <w:szCs w:val="28"/>
        </w:rPr>
        <w:t>(</w:t>
      </w:r>
      <w:r>
        <w:rPr>
          <w:rFonts w:hint="eastAsia" w:ascii="方正小标宋简体" w:eastAsia="方正小标宋简体"/>
          <w:kern w:val="0"/>
          <w:sz w:val="28"/>
          <w:szCs w:val="28"/>
          <w:lang w:val="en-US" w:eastAsia="zh-CN"/>
        </w:rPr>
        <w:t>三</w:t>
      </w:r>
      <w:r>
        <w:rPr>
          <w:rFonts w:hint="eastAsia" w:ascii="方正小标宋简体" w:eastAsia="方正小标宋简体"/>
          <w:kern w:val="0"/>
          <w:sz w:val="28"/>
          <w:szCs w:val="28"/>
        </w:rPr>
        <w:t>)</w:t>
      </w:r>
      <w:r>
        <w:rPr>
          <w:rFonts w:hint="eastAsia" w:ascii="方正小标宋简体" w:eastAsia="方正小标宋简体"/>
          <w:kern w:val="0"/>
          <w:sz w:val="28"/>
          <w:szCs w:val="28"/>
          <w:lang w:eastAsia="zh-CN"/>
        </w:rPr>
        <w:t>补充</w:t>
      </w:r>
      <w:r>
        <w:rPr>
          <w:rFonts w:hint="eastAsia" w:ascii="方正小标宋简体" w:eastAsia="方正小标宋简体"/>
          <w:kern w:val="0"/>
          <w:sz w:val="28"/>
          <w:szCs w:val="28"/>
        </w:rPr>
        <w:t>行政审批事项目录（1项）</w:t>
      </w:r>
    </w:p>
    <w:tbl>
      <w:tblPr>
        <w:tblStyle w:val="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22"/>
        <w:gridCol w:w="592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序号</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项目名称</w:t>
            </w:r>
          </w:p>
        </w:tc>
        <w:tc>
          <w:tcPr>
            <w:tcW w:w="5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实施</w:t>
            </w:r>
            <w:r>
              <w:rPr>
                <w:rFonts w:hint="eastAsia" w:ascii="宋体" w:hAnsi="宋体"/>
                <w:b/>
                <w:kern w:val="0"/>
                <w:szCs w:val="21"/>
                <w:lang w:eastAsia="zh-CN"/>
              </w:rPr>
              <w:t>依据</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1</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kern w:val="0"/>
                <w:szCs w:val="21"/>
                <w:lang w:eastAsia="zh-CN"/>
              </w:rPr>
              <w:t>汽车租赁经营许可</w:t>
            </w:r>
          </w:p>
        </w:tc>
        <w:tc>
          <w:tcPr>
            <w:tcW w:w="592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 w:val="21"/>
                <w:szCs w:val="21"/>
              </w:rPr>
              <w:t>《甘肃省道路运输条例》（已由甘肃省第十二届人民代表大会常务委员会第八次会议于2014年3月26日通过，自2014年5月1日起施行。）第二条：在本省行政区域内从事道路运输经营相关业务的，应当遵守本条例。道路运输相关业务包括道路运输站（场）、机动车维修、机动车驾驶员培训、机动车综合性能检测、汽车租赁等经营业务。第四十七条：从事汽车租赁经营的，应当具备下列条件：（一）有企业法人资格；（二）有十辆以上经检测合格的小型客车；(三)有与经营业务相适应的经营场所、停车场地;（四）有与经营业务相适应的经营场所、停车场地；（五 ）有健全的业务操作规程、安全生产管理制度、服务质量保障措施和应急预案；（六）法律、法规规定的其他条件。</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kern w:val="0"/>
                <w:szCs w:val="21"/>
                <w:lang w:eastAsia="zh-CN"/>
              </w:rPr>
              <w:t>白银区交运局</w:t>
            </w:r>
          </w:p>
        </w:tc>
      </w:tr>
    </w:tbl>
    <w:p>
      <w:pPr>
        <w:keepNext w:val="0"/>
        <w:keepLines w:val="0"/>
        <w:pageBreakBefore w:val="0"/>
        <w:widowControl/>
        <w:kinsoku/>
        <w:wordWrap/>
        <w:overflowPunct/>
        <w:topLinePunct w:val="0"/>
        <w:autoSpaceDE/>
        <w:autoSpaceDN/>
        <w:bidi w:val="0"/>
        <w:adjustRightInd/>
        <w:snapToGrid/>
        <w:spacing w:before="313" w:beforeLines="100" w:after="157" w:afterLines="50" w:line="240" w:lineRule="auto"/>
        <w:ind w:left="315" w:leftChars="0" w:right="0" w:rightChars="0" w:firstLine="315" w:firstLineChars="0"/>
        <w:jc w:val="center"/>
        <w:textAlignment w:val="auto"/>
        <w:outlineLvl w:val="9"/>
        <w:rPr>
          <w:rFonts w:ascii="方正小标宋简体" w:eastAsia="方正小标宋简体"/>
          <w:kern w:val="0"/>
          <w:sz w:val="28"/>
          <w:szCs w:val="28"/>
        </w:rPr>
      </w:pPr>
      <w:r>
        <w:rPr>
          <w:rFonts w:hint="eastAsia" w:ascii="方正小标宋简体" w:eastAsia="方正小标宋简体"/>
          <w:kern w:val="0"/>
          <w:sz w:val="28"/>
          <w:szCs w:val="28"/>
        </w:rPr>
        <w:t>(</w:t>
      </w:r>
      <w:r>
        <w:rPr>
          <w:rFonts w:hint="eastAsia" w:ascii="方正小标宋简体" w:eastAsia="方正小标宋简体"/>
          <w:kern w:val="0"/>
          <w:sz w:val="28"/>
          <w:szCs w:val="28"/>
          <w:lang w:val="en-US" w:eastAsia="zh-CN"/>
        </w:rPr>
        <w:t>四</w:t>
      </w:r>
      <w:r>
        <w:rPr>
          <w:rFonts w:hint="eastAsia" w:ascii="方正小标宋简体" w:eastAsia="方正小标宋简体"/>
          <w:kern w:val="0"/>
          <w:sz w:val="28"/>
          <w:szCs w:val="28"/>
        </w:rPr>
        <w:t>)</w:t>
      </w:r>
      <w:r>
        <w:rPr>
          <w:rFonts w:hint="eastAsia" w:ascii="方正小标宋简体" w:eastAsia="方正小标宋简体"/>
          <w:kern w:val="0"/>
          <w:sz w:val="28"/>
          <w:szCs w:val="28"/>
          <w:lang w:eastAsia="zh-CN"/>
        </w:rPr>
        <w:t>合并的行政审批项目目录</w:t>
      </w:r>
      <w:r>
        <w:rPr>
          <w:rFonts w:hint="eastAsia" w:ascii="方正小标宋简体" w:eastAsia="方正小标宋简体"/>
          <w:kern w:val="0"/>
          <w:sz w:val="28"/>
          <w:szCs w:val="28"/>
        </w:rPr>
        <w:t>（</w:t>
      </w:r>
      <w:r>
        <w:rPr>
          <w:rFonts w:hint="eastAsia" w:ascii="方正小标宋简体" w:eastAsia="方正小标宋简体"/>
          <w:kern w:val="0"/>
          <w:sz w:val="28"/>
          <w:szCs w:val="28"/>
          <w:lang w:val="en-US" w:eastAsia="zh-CN"/>
        </w:rPr>
        <w:t>2</w:t>
      </w:r>
      <w:r>
        <w:rPr>
          <w:rFonts w:hint="eastAsia" w:ascii="方正小标宋简体" w:eastAsia="方正小标宋简体"/>
          <w:kern w:val="0"/>
          <w:sz w:val="28"/>
          <w:szCs w:val="28"/>
        </w:rPr>
        <w:t>项）</w:t>
      </w:r>
    </w:p>
    <w:tbl>
      <w:tblPr>
        <w:tblStyle w:val="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21"/>
        <w:gridCol w:w="3508"/>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序号</w:t>
            </w:r>
          </w:p>
        </w:tc>
        <w:tc>
          <w:tcPr>
            <w:tcW w:w="34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项目名称</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lang w:eastAsia="zh-CN"/>
              </w:rPr>
              <w:t>合并后的项目名称</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1</w:t>
            </w:r>
          </w:p>
        </w:tc>
        <w:tc>
          <w:tcPr>
            <w:tcW w:w="34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食品流通许可证核发、延续、变更</w:t>
            </w:r>
          </w:p>
        </w:tc>
        <w:tc>
          <w:tcPr>
            <w:tcW w:w="350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kern w:val="0"/>
                <w:szCs w:val="21"/>
                <w:lang w:eastAsia="zh-CN"/>
              </w:rPr>
              <w:t>食品经营许可证</w:t>
            </w:r>
          </w:p>
        </w:tc>
        <w:tc>
          <w:tcPr>
            <w:tcW w:w="1652"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kern w:val="0"/>
                <w:szCs w:val="21"/>
                <w:lang w:eastAsia="zh-CN"/>
              </w:rPr>
              <w:t>白银区食药局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34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kern w:val="0"/>
                <w:szCs w:val="21"/>
              </w:rPr>
            </w:pPr>
            <w:r>
              <w:rPr>
                <w:rFonts w:hint="eastAsia" w:ascii="宋体" w:hAnsi="宋体"/>
                <w:kern w:val="0"/>
                <w:szCs w:val="21"/>
              </w:rPr>
              <w:t>餐饮服务许可证核发、延续、变更</w:t>
            </w:r>
          </w:p>
        </w:tc>
        <w:tc>
          <w:tcPr>
            <w:tcW w:w="350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kern w:val="0"/>
                <w:szCs w:val="21"/>
              </w:rPr>
            </w:pPr>
          </w:p>
        </w:tc>
        <w:tc>
          <w:tcPr>
            <w:tcW w:w="1652"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kern w:val="0"/>
                <w:szCs w:val="21"/>
              </w:rPr>
            </w:pPr>
          </w:p>
        </w:tc>
      </w:tr>
    </w:tbl>
    <w:p>
      <w:pPr>
        <w:keepNext w:val="0"/>
        <w:keepLines w:val="0"/>
        <w:pageBreakBefore w:val="0"/>
        <w:widowControl/>
        <w:kinsoku/>
        <w:wordWrap/>
        <w:overflowPunct/>
        <w:topLinePunct w:val="0"/>
        <w:autoSpaceDE/>
        <w:autoSpaceDN/>
        <w:bidi w:val="0"/>
        <w:adjustRightInd/>
        <w:snapToGrid/>
        <w:spacing w:before="313" w:beforeLines="100" w:after="157" w:afterLines="50" w:line="240" w:lineRule="auto"/>
        <w:ind w:left="0" w:leftChars="0" w:right="0" w:rightChars="0" w:firstLine="420" w:firstLineChars="0"/>
        <w:jc w:val="center"/>
        <w:textAlignment w:val="auto"/>
        <w:outlineLvl w:val="9"/>
        <w:rPr>
          <w:rFonts w:ascii="方正小标宋简体" w:eastAsia="方正小标宋简体"/>
          <w:kern w:val="0"/>
          <w:sz w:val="28"/>
          <w:szCs w:val="28"/>
        </w:rPr>
      </w:pPr>
      <w:r>
        <w:rPr>
          <w:rFonts w:hint="eastAsia" w:ascii="方正小标宋简体" w:eastAsia="方正小标宋简体"/>
          <w:kern w:val="0"/>
          <w:sz w:val="28"/>
          <w:szCs w:val="28"/>
        </w:rPr>
        <w:t>(</w:t>
      </w:r>
      <w:r>
        <w:rPr>
          <w:rFonts w:hint="eastAsia" w:ascii="方正小标宋简体" w:eastAsia="方正小标宋简体"/>
          <w:kern w:val="0"/>
          <w:sz w:val="28"/>
          <w:szCs w:val="28"/>
          <w:lang w:val="en-US" w:eastAsia="zh-CN"/>
        </w:rPr>
        <w:t>五</w:t>
      </w:r>
      <w:r>
        <w:rPr>
          <w:rFonts w:hint="eastAsia" w:ascii="方正小标宋简体" w:eastAsia="方正小标宋简体"/>
          <w:kern w:val="0"/>
          <w:sz w:val="28"/>
          <w:szCs w:val="28"/>
        </w:rPr>
        <w:t>)权责清单调整名称事项目录（</w:t>
      </w:r>
      <w:r>
        <w:rPr>
          <w:rFonts w:hint="eastAsia" w:ascii="方正小标宋简体" w:eastAsia="方正小标宋简体"/>
          <w:kern w:val="0"/>
          <w:sz w:val="28"/>
          <w:szCs w:val="28"/>
          <w:lang w:val="en-US" w:eastAsia="zh-CN"/>
        </w:rPr>
        <w:t>1</w:t>
      </w:r>
      <w:r>
        <w:rPr>
          <w:rFonts w:hint="eastAsia" w:ascii="方正小标宋简体" w:eastAsia="方正小标宋简体"/>
          <w:kern w:val="0"/>
          <w:sz w:val="28"/>
          <w:szCs w:val="28"/>
        </w:rPr>
        <w:t>项）</w:t>
      </w:r>
    </w:p>
    <w:tbl>
      <w:tblPr>
        <w:tblStyle w:val="4"/>
        <w:tblW w:w="9246"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408"/>
        <w:gridCol w:w="5223"/>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原事项</w:t>
            </w:r>
          </w:p>
          <w:p>
            <w:pPr>
              <w:widowControl/>
              <w:jc w:val="center"/>
              <w:rPr>
                <w:rFonts w:ascii="宋体" w:hAnsi="宋体"/>
                <w:b/>
                <w:kern w:val="0"/>
                <w:szCs w:val="21"/>
              </w:rPr>
            </w:pPr>
            <w:r>
              <w:rPr>
                <w:rFonts w:hint="eastAsia" w:ascii="宋体" w:hAnsi="宋体"/>
                <w:b/>
                <w:kern w:val="0"/>
                <w:szCs w:val="21"/>
              </w:rPr>
              <w:t>名称</w:t>
            </w:r>
          </w:p>
        </w:tc>
        <w:tc>
          <w:tcPr>
            <w:tcW w:w="52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调整依据</w:t>
            </w:r>
          </w:p>
        </w:tc>
        <w:tc>
          <w:tcPr>
            <w:tcW w:w="1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szCs w:val="21"/>
              </w:rPr>
            </w:pPr>
            <w:r>
              <w:rPr>
                <w:rFonts w:hint="eastAsia" w:ascii="宋体" w:hAnsi="宋体"/>
                <w:b/>
                <w:kern w:val="0"/>
                <w:szCs w:val="21"/>
              </w:rPr>
              <w:t>修改后</w:t>
            </w:r>
          </w:p>
          <w:p>
            <w:pPr>
              <w:widowControl/>
              <w:jc w:val="center"/>
              <w:rPr>
                <w:rFonts w:ascii="宋体" w:hAnsi="宋体"/>
                <w:b/>
                <w:kern w:val="0"/>
                <w:szCs w:val="21"/>
              </w:rPr>
            </w:pPr>
            <w:r>
              <w:rPr>
                <w:rFonts w:hint="eastAsia" w:ascii="宋体" w:hAnsi="宋体"/>
                <w:b/>
                <w:kern w:val="0"/>
                <w:szCs w:val="21"/>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6"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1</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color w:val="0000FF"/>
                <w:kern w:val="0"/>
                <w:szCs w:val="21"/>
              </w:rPr>
              <w:t>印刷企业兼营或变更经营活动以及兼并、合并、分立审批</w:t>
            </w:r>
          </w:p>
        </w:tc>
        <w:tc>
          <w:tcPr>
            <w:tcW w:w="52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FF0000"/>
                <w:kern w:val="0"/>
                <w:szCs w:val="21"/>
              </w:rPr>
            </w:pPr>
            <w:r>
              <w:rPr>
                <w:rFonts w:hint="eastAsia" w:ascii="宋体" w:hAnsi="宋体"/>
                <w:kern w:val="0"/>
                <w:szCs w:val="21"/>
              </w:rPr>
              <w:t xml:space="preserve"> 根据新修订的《印刷业管理条例》（2001年8月2日国务院315号令，2016年2月6日国务院令第666号修订），第八条改为第九条，第一款中的“设立印刷企业”修改为“企业从事印刷经营活动”。第二款中的“审批设立印刷企业”修改为“审批从事印刷经营活动申请”。</w:t>
            </w:r>
          </w:p>
          <w:p>
            <w:pPr>
              <w:widowControl/>
              <w:jc w:val="left"/>
              <w:rPr>
                <w:rFonts w:ascii="宋体" w:hAnsi="宋体"/>
                <w:kern w:val="0"/>
                <w:szCs w:val="21"/>
              </w:rPr>
            </w:pPr>
            <w:r>
              <w:rPr>
                <w:rFonts w:hint="eastAsia" w:ascii="宋体" w:hAnsi="宋体"/>
                <w:kern w:val="0"/>
                <w:szCs w:val="21"/>
              </w:rPr>
              <w:t xml:space="preserve">    第十一条改为第十二条，第二款修改为：“印刷业经营者变更名称、法定代表人或者负责人、住所或者经营场所等主要登记事项，或者终止印刷经营活动，应当报原批准设立的出版行政部门备案。”</w:t>
            </w:r>
          </w:p>
        </w:tc>
        <w:tc>
          <w:tcPr>
            <w:tcW w:w="16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color w:val="0000FF"/>
                <w:kern w:val="0"/>
                <w:szCs w:val="21"/>
              </w:rPr>
              <w:t>印刷企业变更印刷经营、兼营活动审批</w:t>
            </w:r>
          </w:p>
        </w:tc>
      </w:tr>
    </w:tbl>
    <w:p>
      <w:pPr>
        <w:tabs>
          <w:tab w:val="left" w:pos="669"/>
        </w:tabs>
        <w:jc w:val="left"/>
        <w:rPr>
          <w:rFonts w:hint="default" w:eastAsia="仿宋_GB2312" w:cs="Times New Roman"/>
          <w:kern w:val="2"/>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54358"/>
    <w:rsid w:val="45E543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2016-08-22T06:51:00Z</dcterms:created>
  <dc:creator>Administrator</dc:creator>
  <cp:lastModifiedBy>Administrator</cp:lastModifiedBy>
  <dcterms:modified xsi:type="dcterms:W3CDTF">2016-08-22T06:54:13Z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